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705"/>
        <w:tblW w:w="9576" w:type="dxa"/>
        <w:tblBorders>
          <w:bottom w:val="single" w:sz="48" w:space="0" w:color="auto"/>
        </w:tblBorders>
        <w:tblLayout w:type="fixed"/>
        <w:tblLook w:val="0000" w:firstRow="0" w:lastRow="0" w:firstColumn="0" w:lastColumn="0" w:noHBand="0" w:noVBand="0"/>
      </w:tblPr>
      <w:tblGrid>
        <w:gridCol w:w="2268"/>
        <w:gridCol w:w="4320"/>
        <w:gridCol w:w="2970"/>
        <w:gridCol w:w="18"/>
      </w:tblGrid>
      <w:tr w:rsidR="005830BD" w:rsidRPr="006369D3" w14:paraId="18979AC7" w14:textId="77777777" w:rsidTr="00747283">
        <w:trPr>
          <w:cantSplit/>
          <w:trHeight w:hRule="exact" w:val="660"/>
        </w:trPr>
        <w:tc>
          <w:tcPr>
            <w:tcW w:w="2268" w:type="dxa"/>
            <w:vMerge w:val="restart"/>
            <w:tcBorders>
              <w:bottom w:val="single" w:sz="24" w:space="0" w:color="auto"/>
            </w:tcBorders>
            <w:vAlign w:val="bottom"/>
          </w:tcPr>
          <w:p w14:paraId="719A1264" w14:textId="77777777" w:rsidR="005830BD" w:rsidRPr="006369D3" w:rsidRDefault="005830BD" w:rsidP="00747283">
            <w:pPr>
              <w:spacing w:after="110" w:line="240" w:lineRule="auto"/>
              <w:rPr>
                <w:rFonts w:ascii="New York" w:eastAsia="Times New Roman" w:hAnsi="New York" w:cs="Times New Roman"/>
                <w:sz w:val="24"/>
                <w:szCs w:val="20"/>
              </w:rPr>
            </w:pPr>
            <w:r w:rsidRPr="006369D3">
              <w:rPr>
                <w:rFonts w:ascii="New York" w:eastAsia="Times New Roman" w:hAnsi="New York" w:cs="Times New Roman"/>
                <w:noProof/>
                <w:sz w:val="24"/>
                <w:szCs w:val="20"/>
              </w:rPr>
              <w:drawing>
                <wp:inline distT="0" distB="0" distL="0" distR="0" wp14:anchorId="6FDA2107" wp14:editId="1E31FC09">
                  <wp:extent cx="1295400" cy="6477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7190" cy="648595"/>
                          </a:xfrm>
                          <a:prstGeom prst="rect">
                            <a:avLst/>
                          </a:prstGeom>
                          <a:noFill/>
                          <a:ln>
                            <a:noFill/>
                          </a:ln>
                        </pic:spPr>
                      </pic:pic>
                    </a:graphicData>
                  </a:graphic>
                </wp:inline>
              </w:drawing>
            </w:r>
          </w:p>
        </w:tc>
        <w:tc>
          <w:tcPr>
            <w:tcW w:w="4320" w:type="dxa"/>
            <w:tcBorders>
              <w:bottom w:val="nil"/>
            </w:tcBorders>
          </w:tcPr>
          <w:p w14:paraId="3EC082EF" w14:textId="77777777" w:rsidR="005830BD" w:rsidRPr="006369D3" w:rsidRDefault="005830BD" w:rsidP="00747283">
            <w:pPr>
              <w:spacing w:after="0" w:line="240" w:lineRule="auto"/>
              <w:rPr>
                <w:rFonts w:ascii="New York" w:eastAsia="Times New Roman" w:hAnsi="New York" w:cs="Times New Roman"/>
                <w:sz w:val="24"/>
                <w:szCs w:val="20"/>
              </w:rPr>
            </w:pPr>
          </w:p>
        </w:tc>
        <w:tc>
          <w:tcPr>
            <w:tcW w:w="2988" w:type="dxa"/>
            <w:gridSpan w:val="2"/>
            <w:tcBorders>
              <w:bottom w:val="nil"/>
            </w:tcBorders>
          </w:tcPr>
          <w:p w14:paraId="7A6BE75B" w14:textId="77777777" w:rsidR="005830BD" w:rsidRPr="006369D3" w:rsidRDefault="005830BD" w:rsidP="00747283">
            <w:pPr>
              <w:keepNext/>
              <w:spacing w:after="0" w:line="240" w:lineRule="auto"/>
              <w:outlineLvl w:val="1"/>
              <w:rPr>
                <w:rFonts w:ascii="Arial" w:eastAsia="Times New Roman" w:hAnsi="Arial" w:cs="Times New Roman"/>
                <w:b/>
                <w:sz w:val="32"/>
                <w:szCs w:val="20"/>
              </w:rPr>
            </w:pPr>
          </w:p>
        </w:tc>
      </w:tr>
      <w:tr w:rsidR="005830BD" w:rsidRPr="006369D3" w14:paraId="39B18780" w14:textId="77777777" w:rsidTr="00747283">
        <w:trPr>
          <w:cantSplit/>
          <w:trHeight w:val="480"/>
        </w:trPr>
        <w:tc>
          <w:tcPr>
            <w:tcW w:w="2268" w:type="dxa"/>
            <w:vMerge/>
            <w:tcBorders>
              <w:top w:val="single" w:sz="18" w:space="0" w:color="auto"/>
              <w:bottom w:val="single" w:sz="24" w:space="0" w:color="auto"/>
            </w:tcBorders>
          </w:tcPr>
          <w:p w14:paraId="0B197C91" w14:textId="77777777" w:rsidR="005830BD" w:rsidRPr="006369D3" w:rsidRDefault="005830BD" w:rsidP="00747283">
            <w:pPr>
              <w:spacing w:after="0" w:line="240" w:lineRule="auto"/>
              <w:rPr>
                <w:rFonts w:ascii="New York" w:eastAsia="Times New Roman" w:hAnsi="New York" w:cs="Times New Roman"/>
                <w:sz w:val="24"/>
                <w:szCs w:val="20"/>
              </w:rPr>
            </w:pPr>
            <w:r w:rsidRPr="006369D3">
              <w:rPr>
                <w:rFonts w:ascii="Arial" w:eastAsia="Times New Roman" w:hAnsi="Arial" w:cs="Times New Roman"/>
                <w:noProof/>
                <w:sz w:val="20"/>
                <w:szCs w:val="20"/>
              </w:rPr>
              <w:drawing>
                <wp:inline distT="0" distB="0" distL="0" distR="0" wp14:anchorId="7E9EADB9" wp14:editId="287B84D9">
                  <wp:extent cx="812165" cy="419100"/>
                  <wp:effectExtent l="0" t="0" r="6985"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2165" cy="419100"/>
                          </a:xfrm>
                          <a:prstGeom prst="rect">
                            <a:avLst/>
                          </a:prstGeom>
                          <a:noFill/>
                          <a:ln>
                            <a:noFill/>
                          </a:ln>
                        </pic:spPr>
                      </pic:pic>
                    </a:graphicData>
                  </a:graphic>
                </wp:inline>
              </w:drawing>
            </w:r>
          </w:p>
        </w:tc>
        <w:tc>
          <w:tcPr>
            <w:tcW w:w="4320" w:type="dxa"/>
            <w:tcBorders>
              <w:top w:val="nil"/>
              <w:bottom w:val="single" w:sz="24" w:space="0" w:color="auto"/>
            </w:tcBorders>
            <w:vAlign w:val="bottom"/>
          </w:tcPr>
          <w:p w14:paraId="6BCC89F6" w14:textId="77777777" w:rsidR="005830BD" w:rsidRPr="006369D3" w:rsidRDefault="005830BD" w:rsidP="00747283">
            <w:pPr>
              <w:keepNext/>
              <w:spacing w:after="70" w:line="240" w:lineRule="auto"/>
              <w:outlineLvl w:val="0"/>
              <w:rPr>
                <w:rFonts w:ascii="Arial" w:eastAsia="Times New Roman" w:hAnsi="Arial" w:cs="Times New Roman"/>
                <w:i/>
                <w:szCs w:val="20"/>
              </w:rPr>
            </w:pPr>
            <w:r w:rsidRPr="006369D3">
              <w:rPr>
                <w:rFonts w:ascii="Arial" w:eastAsia="Times New Roman" w:hAnsi="Arial" w:cs="Times New Roman"/>
                <w:i/>
                <w:szCs w:val="20"/>
              </w:rPr>
              <w:t>Demand Moore Reliability</w:t>
            </w:r>
          </w:p>
        </w:tc>
        <w:tc>
          <w:tcPr>
            <w:tcW w:w="2988" w:type="dxa"/>
            <w:gridSpan w:val="2"/>
            <w:tcBorders>
              <w:top w:val="nil"/>
              <w:bottom w:val="single" w:sz="24" w:space="0" w:color="auto"/>
            </w:tcBorders>
            <w:vAlign w:val="center"/>
          </w:tcPr>
          <w:p w14:paraId="20D5808E" w14:textId="77777777" w:rsidR="005830BD" w:rsidRPr="006369D3" w:rsidRDefault="005830BD" w:rsidP="00747283">
            <w:pPr>
              <w:keepNext/>
              <w:spacing w:before="140" w:after="0" w:line="240" w:lineRule="auto"/>
              <w:outlineLvl w:val="1"/>
              <w:rPr>
                <w:rFonts w:ascii="Arial" w:eastAsia="Times New Roman" w:hAnsi="Arial" w:cs="Times New Roman"/>
                <w:b/>
                <w:sz w:val="16"/>
                <w:szCs w:val="20"/>
              </w:rPr>
            </w:pPr>
            <w:r w:rsidRPr="006369D3">
              <w:rPr>
                <w:rFonts w:ascii="Arial" w:eastAsia="Times New Roman" w:hAnsi="Arial" w:cs="Times New Roman"/>
                <w:b/>
                <w:sz w:val="16"/>
                <w:szCs w:val="20"/>
              </w:rPr>
              <w:t>Moore Industries-International, Inc.</w:t>
            </w:r>
          </w:p>
        </w:tc>
      </w:tr>
      <w:tr w:rsidR="005830BD" w:rsidRPr="006369D3" w14:paraId="29DBC9D1" w14:textId="77777777" w:rsidTr="00747283">
        <w:tblPrEx>
          <w:tblBorders>
            <w:bottom w:val="none" w:sz="0" w:space="0" w:color="auto"/>
          </w:tblBorders>
        </w:tblPrEx>
        <w:trPr>
          <w:gridAfter w:val="1"/>
          <w:wAfter w:w="18" w:type="dxa"/>
          <w:cantSplit/>
          <w:trHeight w:hRule="exact" w:val="1113"/>
        </w:trPr>
        <w:tc>
          <w:tcPr>
            <w:tcW w:w="6588" w:type="dxa"/>
            <w:gridSpan w:val="2"/>
            <w:vAlign w:val="bottom"/>
          </w:tcPr>
          <w:p w14:paraId="6AA81104" w14:textId="77777777" w:rsidR="005830BD" w:rsidRPr="006369D3" w:rsidRDefault="005830BD" w:rsidP="00747283">
            <w:pPr>
              <w:spacing w:after="0" w:line="240" w:lineRule="auto"/>
              <w:rPr>
                <w:rFonts w:ascii="Arial" w:eastAsia="Times New Roman" w:hAnsi="Arial" w:cs="Arial"/>
                <w:szCs w:val="20"/>
              </w:rPr>
            </w:pPr>
            <w:r w:rsidRPr="006369D3">
              <w:rPr>
                <w:rFonts w:ascii="Arial" w:eastAsia="Times New Roman" w:hAnsi="Arial" w:cs="Arial"/>
                <w:b/>
                <w:szCs w:val="20"/>
              </w:rPr>
              <w:br/>
              <w:t>Editorial Contact</w:t>
            </w:r>
            <w:r w:rsidRPr="006369D3">
              <w:rPr>
                <w:rFonts w:ascii="Arial" w:eastAsia="Times New Roman" w:hAnsi="Arial" w:cs="Arial"/>
                <w:szCs w:val="20"/>
              </w:rPr>
              <w:t xml:space="preserve">: </w:t>
            </w:r>
          </w:p>
          <w:p w14:paraId="4CA1A649" w14:textId="77777777" w:rsidR="005830BD" w:rsidRPr="006369D3" w:rsidRDefault="005830BD" w:rsidP="00747283">
            <w:pPr>
              <w:spacing w:after="0" w:line="240" w:lineRule="auto"/>
              <w:rPr>
                <w:rFonts w:ascii="Arial" w:eastAsia="Times New Roman" w:hAnsi="Arial" w:cs="Arial"/>
                <w:szCs w:val="20"/>
              </w:rPr>
            </w:pPr>
            <w:r w:rsidRPr="006369D3">
              <w:rPr>
                <w:rFonts w:ascii="Arial" w:eastAsia="Times New Roman" w:hAnsi="Arial" w:cs="Arial"/>
                <w:szCs w:val="20"/>
              </w:rPr>
              <w:t>David Burgett, (818) 894-7111 Ext 546</w:t>
            </w:r>
          </w:p>
          <w:p w14:paraId="70752492" w14:textId="77777777" w:rsidR="005830BD" w:rsidRPr="006369D3" w:rsidRDefault="005830BD" w:rsidP="00747283">
            <w:pPr>
              <w:spacing w:after="0" w:line="240" w:lineRule="auto"/>
              <w:rPr>
                <w:rFonts w:ascii="Arial" w:eastAsia="Times New Roman" w:hAnsi="Arial" w:cs="Arial"/>
                <w:strike/>
                <w:szCs w:val="20"/>
              </w:rPr>
            </w:pPr>
            <w:r w:rsidRPr="006369D3">
              <w:rPr>
                <w:rFonts w:ascii="Arial" w:eastAsia="Times New Roman" w:hAnsi="Arial" w:cs="Arial"/>
                <w:szCs w:val="20"/>
              </w:rPr>
              <w:t>miicontent@miinet.com</w:t>
            </w:r>
            <w:hyperlink r:id="rId7" w:history="1"/>
          </w:p>
          <w:p w14:paraId="5908DE03" w14:textId="77777777" w:rsidR="005830BD" w:rsidRPr="006369D3" w:rsidRDefault="005830BD" w:rsidP="00747283">
            <w:pPr>
              <w:spacing w:after="0" w:line="360" w:lineRule="auto"/>
              <w:rPr>
                <w:rFonts w:ascii="Arial" w:eastAsia="Times New Roman" w:hAnsi="Arial" w:cs="Arial"/>
                <w:szCs w:val="20"/>
              </w:rPr>
            </w:pPr>
          </w:p>
          <w:p w14:paraId="443A055C" w14:textId="77777777" w:rsidR="005830BD" w:rsidRPr="006369D3" w:rsidRDefault="005830BD" w:rsidP="00747283">
            <w:pPr>
              <w:spacing w:after="0" w:line="360" w:lineRule="auto"/>
              <w:rPr>
                <w:rFonts w:ascii="Arial" w:eastAsia="Times New Roman" w:hAnsi="Arial" w:cs="Arial"/>
                <w:szCs w:val="20"/>
              </w:rPr>
            </w:pPr>
          </w:p>
          <w:p w14:paraId="00EC8653" w14:textId="77777777" w:rsidR="005830BD" w:rsidRPr="006369D3" w:rsidRDefault="005830BD" w:rsidP="00747283">
            <w:pPr>
              <w:spacing w:before="160" w:after="120" w:line="240" w:lineRule="auto"/>
              <w:rPr>
                <w:rFonts w:ascii="Arial" w:eastAsia="Times New Roman" w:hAnsi="Arial" w:cs="Times New Roman"/>
                <w:sz w:val="20"/>
                <w:szCs w:val="20"/>
              </w:rPr>
            </w:pPr>
          </w:p>
        </w:tc>
        <w:tc>
          <w:tcPr>
            <w:tcW w:w="2970" w:type="dxa"/>
            <w:tcBorders>
              <w:left w:val="nil"/>
            </w:tcBorders>
            <w:vAlign w:val="center"/>
          </w:tcPr>
          <w:p w14:paraId="0CE9C0D9" w14:textId="77777777" w:rsidR="005830BD" w:rsidRPr="006369D3" w:rsidRDefault="005830BD" w:rsidP="00747283">
            <w:pPr>
              <w:spacing w:after="0" w:line="240" w:lineRule="auto"/>
              <w:rPr>
                <w:rFonts w:ascii="Arial" w:eastAsia="Times New Roman" w:hAnsi="Arial" w:cs="Times New Roman"/>
                <w:sz w:val="14"/>
                <w:szCs w:val="20"/>
              </w:rPr>
            </w:pPr>
            <w:r w:rsidRPr="006369D3">
              <w:rPr>
                <w:rFonts w:ascii="Arial" w:eastAsia="Times New Roman" w:hAnsi="Arial" w:cs="Times New Roman"/>
                <w:sz w:val="14"/>
                <w:szCs w:val="20"/>
              </w:rPr>
              <w:t>16650 Schoenborn Street</w:t>
            </w:r>
          </w:p>
          <w:p w14:paraId="7E97FC20" w14:textId="77777777" w:rsidR="005830BD" w:rsidRPr="006369D3" w:rsidRDefault="005830BD" w:rsidP="00747283">
            <w:pPr>
              <w:spacing w:after="0" w:line="240" w:lineRule="auto"/>
              <w:rPr>
                <w:rFonts w:ascii="Arial" w:eastAsia="Times New Roman" w:hAnsi="Arial" w:cs="Times New Roman"/>
                <w:sz w:val="14"/>
                <w:szCs w:val="20"/>
              </w:rPr>
            </w:pPr>
            <w:r w:rsidRPr="006369D3">
              <w:rPr>
                <w:rFonts w:ascii="Arial" w:eastAsia="Times New Roman" w:hAnsi="Arial" w:cs="Times New Roman"/>
                <w:sz w:val="14"/>
                <w:szCs w:val="20"/>
              </w:rPr>
              <w:t>North Hills, CA 91343-6196</w:t>
            </w:r>
          </w:p>
          <w:p w14:paraId="27B06547" w14:textId="77777777" w:rsidR="005830BD" w:rsidRPr="006369D3" w:rsidRDefault="005830BD" w:rsidP="00747283">
            <w:pPr>
              <w:spacing w:after="0" w:line="240" w:lineRule="auto"/>
              <w:rPr>
                <w:rFonts w:ascii="Arial" w:eastAsia="Times New Roman" w:hAnsi="Arial" w:cs="Times New Roman"/>
                <w:sz w:val="8"/>
                <w:szCs w:val="20"/>
              </w:rPr>
            </w:pPr>
          </w:p>
          <w:p w14:paraId="352A2A96" w14:textId="77777777" w:rsidR="005830BD" w:rsidRPr="006369D3" w:rsidRDefault="005830BD" w:rsidP="00747283">
            <w:pPr>
              <w:spacing w:after="0" w:line="240" w:lineRule="auto"/>
              <w:rPr>
                <w:rFonts w:ascii="Arial" w:eastAsia="Times New Roman" w:hAnsi="Arial" w:cs="Times New Roman"/>
                <w:sz w:val="14"/>
                <w:szCs w:val="20"/>
              </w:rPr>
            </w:pPr>
            <w:r w:rsidRPr="006369D3">
              <w:rPr>
                <w:rFonts w:ascii="Arial" w:eastAsia="Times New Roman" w:hAnsi="Arial" w:cs="Times New Roman"/>
                <w:sz w:val="14"/>
                <w:szCs w:val="20"/>
              </w:rPr>
              <w:t>Telephone (818) 894-7111</w:t>
            </w:r>
          </w:p>
          <w:p w14:paraId="2DB09582" w14:textId="77777777" w:rsidR="005830BD" w:rsidRPr="006369D3" w:rsidRDefault="005830BD" w:rsidP="00747283">
            <w:pPr>
              <w:spacing w:after="0" w:line="240" w:lineRule="auto"/>
              <w:rPr>
                <w:rFonts w:ascii="Arial" w:eastAsia="Times New Roman" w:hAnsi="Arial" w:cs="Times New Roman"/>
                <w:sz w:val="14"/>
                <w:szCs w:val="20"/>
              </w:rPr>
            </w:pPr>
            <w:r w:rsidRPr="006369D3">
              <w:rPr>
                <w:rFonts w:ascii="Arial" w:eastAsia="Times New Roman" w:hAnsi="Arial" w:cs="Times New Roman"/>
                <w:sz w:val="14"/>
                <w:szCs w:val="20"/>
              </w:rPr>
              <w:t>FAX (818) 891-2816</w:t>
            </w:r>
          </w:p>
          <w:p w14:paraId="6A646DF9" w14:textId="77777777" w:rsidR="005830BD" w:rsidRPr="006369D3" w:rsidRDefault="005830BD" w:rsidP="00747283">
            <w:pPr>
              <w:spacing w:after="0" w:line="240" w:lineRule="auto"/>
              <w:rPr>
                <w:rFonts w:ascii="Arial" w:eastAsia="Times New Roman" w:hAnsi="Arial" w:cs="Times New Roman"/>
                <w:sz w:val="14"/>
                <w:szCs w:val="20"/>
              </w:rPr>
            </w:pPr>
            <w:r w:rsidRPr="006369D3">
              <w:rPr>
                <w:rFonts w:ascii="Arial" w:eastAsia="Times New Roman" w:hAnsi="Arial" w:cs="Times New Roman"/>
                <w:sz w:val="14"/>
                <w:szCs w:val="20"/>
              </w:rPr>
              <w:t>E-mail: info@miinet.com</w:t>
            </w:r>
          </w:p>
        </w:tc>
      </w:tr>
    </w:tbl>
    <w:p w14:paraId="09A9026B" w14:textId="77777777" w:rsidR="000B01E2" w:rsidRDefault="000B01E2"/>
    <w:p w14:paraId="2B85E7D9" w14:textId="3156D9AB" w:rsidR="005830BD" w:rsidRDefault="005830BD">
      <w:pPr>
        <w:rPr>
          <w:rFonts w:ascii="Arial" w:eastAsia="Times New Roman" w:hAnsi="Arial" w:cs="Arial"/>
          <w:b/>
          <w:sz w:val="24"/>
          <w:szCs w:val="24"/>
        </w:rPr>
      </w:pPr>
      <w:r w:rsidRPr="005830BD">
        <w:rPr>
          <w:rFonts w:ascii="Arial" w:eastAsia="Times New Roman" w:hAnsi="Arial" w:cs="Arial"/>
          <w:b/>
          <w:sz w:val="24"/>
          <w:szCs w:val="24"/>
        </w:rPr>
        <w:t>FOR IMMEDIATE RELEASE</w:t>
      </w:r>
    </w:p>
    <w:p w14:paraId="3AC4FDF7" w14:textId="604194A3" w:rsidR="005830BD" w:rsidRDefault="003E4A5F" w:rsidP="00040229">
      <w:pPr>
        <w:jc w:val="center"/>
      </w:pPr>
      <w:r>
        <w:rPr>
          <w:rFonts w:ascii="Arial" w:eastAsia="Times New Roman" w:hAnsi="Arial" w:cs="Arial"/>
          <w:b/>
          <w:sz w:val="28"/>
          <w:szCs w:val="28"/>
        </w:rPr>
        <w:t>SLA Multiloop Safety Logic Solver and Alarm Earns FM Approval for Non-Incendive Applications in Class 1, Division 2 Hazardous Areas</w:t>
      </w:r>
    </w:p>
    <w:p w14:paraId="476CEA3F" w14:textId="212F1751" w:rsidR="005830BD" w:rsidRDefault="005830BD" w:rsidP="00AB6186">
      <w:pPr>
        <w:rPr>
          <w:rFonts w:ascii="Arial" w:eastAsia="Times New Roman" w:hAnsi="Arial" w:cs="Arial"/>
          <w:sz w:val="21"/>
          <w:szCs w:val="21"/>
        </w:rPr>
      </w:pPr>
      <w:r w:rsidRPr="001C63A2">
        <w:rPr>
          <w:rFonts w:ascii="Arial" w:eastAsia="Times New Roman" w:hAnsi="Arial" w:cs="Arial"/>
          <w:sz w:val="21"/>
          <w:szCs w:val="21"/>
        </w:rPr>
        <w:t>NORTH HILLS, CALIF., – (</w:t>
      </w:r>
      <w:r w:rsidR="00BC65FD">
        <w:rPr>
          <w:rFonts w:ascii="Arial" w:eastAsia="Times New Roman" w:hAnsi="Arial" w:cs="Arial"/>
          <w:sz w:val="21"/>
          <w:szCs w:val="21"/>
        </w:rPr>
        <w:t>January</w:t>
      </w:r>
      <w:r w:rsidR="003E4A5F">
        <w:rPr>
          <w:rFonts w:ascii="Arial" w:eastAsia="Times New Roman" w:hAnsi="Arial" w:cs="Arial"/>
          <w:sz w:val="21"/>
          <w:szCs w:val="21"/>
        </w:rPr>
        <w:t xml:space="preserve"> </w:t>
      </w:r>
      <w:r w:rsidR="00C06DA1">
        <w:rPr>
          <w:rFonts w:ascii="Arial" w:eastAsia="Times New Roman" w:hAnsi="Arial" w:cs="Arial"/>
          <w:sz w:val="21"/>
          <w:szCs w:val="21"/>
        </w:rPr>
        <w:t>29</w:t>
      </w:r>
      <w:r w:rsidR="00586673">
        <w:rPr>
          <w:rFonts w:ascii="Arial" w:eastAsia="Times New Roman" w:hAnsi="Arial" w:cs="Arial"/>
          <w:sz w:val="21"/>
          <w:szCs w:val="21"/>
        </w:rPr>
        <w:t>, 202</w:t>
      </w:r>
      <w:r w:rsidR="00BC65FD">
        <w:rPr>
          <w:rFonts w:ascii="Arial" w:eastAsia="Times New Roman" w:hAnsi="Arial" w:cs="Arial"/>
          <w:sz w:val="21"/>
          <w:szCs w:val="21"/>
        </w:rPr>
        <w:t>5</w:t>
      </w:r>
      <w:r w:rsidRPr="001C63A2">
        <w:rPr>
          <w:rFonts w:ascii="Arial" w:eastAsia="Times New Roman" w:hAnsi="Arial" w:cs="Arial"/>
          <w:sz w:val="21"/>
          <w:szCs w:val="21"/>
        </w:rPr>
        <w:t xml:space="preserve">) – </w:t>
      </w:r>
      <w:r w:rsidR="00272811">
        <w:rPr>
          <w:rFonts w:ascii="Arial" w:eastAsia="Times New Roman" w:hAnsi="Arial" w:cs="Arial"/>
          <w:sz w:val="21"/>
          <w:szCs w:val="21"/>
        </w:rPr>
        <w:t>Moore Industries’ SLA Multiloop and Multifunction</w:t>
      </w:r>
      <w:r w:rsidR="008B36F5">
        <w:rPr>
          <w:rFonts w:ascii="Arial" w:eastAsia="Times New Roman" w:hAnsi="Arial" w:cs="Arial"/>
          <w:sz w:val="21"/>
          <w:szCs w:val="21"/>
        </w:rPr>
        <w:t>al</w:t>
      </w:r>
      <w:r w:rsidR="00272811">
        <w:rPr>
          <w:rFonts w:ascii="Arial" w:eastAsia="Times New Roman" w:hAnsi="Arial" w:cs="Arial"/>
          <w:sz w:val="21"/>
          <w:szCs w:val="21"/>
        </w:rPr>
        <w:t xml:space="preserve"> Safety Logic Solver and Alarm </w:t>
      </w:r>
      <w:r w:rsidR="005B4866">
        <w:rPr>
          <w:rFonts w:ascii="Arial" w:eastAsia="Times New Roman" w:hAnsi="Arial" w:cs="Arial"/>
          <w:sz w:val="21"/>
          <w:szCs w:val="21"/>
        </w:rPr>
        <w:t xml:space="preserve">has earned Factory Mutual (FM) approval as </w:t>
      </w:r>
      <w:r w:rsidR="007341FD">
        <w:rPr>
          <w:rFonts w:ascii="Arial" w:eastAsia="Times New Roman" w:hAnsi="Arial" w:cs="Arial"/>
          <w:sz w:val="21"/>
          <w:szCs w:val="21"/>
        </w:rPr>
        <w:t>a Non-Incendive instrument. This approval allows the SLA to be used in Class I, Division 2, Groups A, B, C, and D Hazardou</w:t>
      </w:r>
      <w:r w:rsidR="00444941">
        <w:rPr>
          <w:rFonts w:ascii="Arial" w:eastAsia="Times New Roman" w:hAnsi="Arial" w:cs="Arial"/>
          <w:sz w:val="21"/>
          <w:szCs w:val="21"/>
        </w:rPr>
        <w:t>s (Classified)</w:t>
      </w:r>
      <w:r w:rsidR="0034719C">
        <w:rPr>
          <w:rFonts w:ascii="Arial" w:eastAsia="Times New Roman" w:hAnsi="Arial" w:cs="Arial"/>
          <w:sz w:val="21"/>
          <w:szCs w:val="21"/>
        </w:rPr>
        <w:t xml:space="preserve"> locations</w:t>
      </w:r>
      <w:r w:rsidR="00444941">
        <w:rPr>
          <w:rFonts w:ascii="Arial" w:eastAsia="Times New Roman" w:hAnsi="Arial" w:cs="Arial"/>
          <w:sz w:val="21"/>
          <w:szCs w:val="21"/>
        </w:rPr>
        <w:t xml:space="preserve"> in both the United States and Canada. The SLA Is a part of the Moore Industries </w:t>
      </w:r>
      <w:r w:rsidR="00444941">
        <w:rPr>
          <w:rFonts w:ascii="Arial" w:eastAsia="Times New Roman" w:hAnsi="Arial" w:cs="Arial"/>
          <w:b/>
          <w:bCs/>
          <w:sz w:val="21"/>
          <w:szCs w:val="21"/>
        </w:rPr>
        <w:t xml:space="preserve">FS FUNCTIONAL SAFETY SERIES </w:t>
      </w:r>
      <w:r w:rsidR="00444941">
        <w:rPr>
          <w:rFonts w:ascii="Arial" w:eastAsia="Times New Roman" w:hAnsi="Arial" w:cs="Arial"/>
          <w:sz w:val="21"/>
          <w:szCs w:val="21"/>
        </w:rPr>
        <w:t xml:space="preserve">and these new approvals mean that the SLA provides reliable alarming and safety shutdown capabilities in </w:t>
      </w:r>
      <w:r w:rsidR="00C5018D">
        <w:rPr>
          <w:rFonts w:ascii="Arial" w:eastAsia="Times New Roman" w:hAnsi="Arial" w:cs="Arial"/>
          <w:sz w:val="21"/>
          <w:szCs w:val="21"/>
        </w:rPr>
        <w:t xml:space="preserve">hazardous </w:t>
      </w:r>
      <w:r w:rsidR="0034719C">
        <w:rPr>
          <w:rFonts w:ascii="Arial" w:eastAsia="Times New Roman" w:hAnsi="Arial" w:cs="Arial"/>
          <w:sz w:val="21"/>
          <w:szCs w:val="21"/>
        </w:rPr>
        <w:t>environments</w:t>
      </w:r>
      <w:r w:rsidR="00C5018D">
        <w:rPr>
          <w:rFonts w:ascii="Arial" w:eastAsia="Times New Roman" w:hAnsi="Arial" w:cs="Arial"/>
          <w:sz w:val="21"/>
          <w:szCs w:val="21"/>
        </w:rPr>
        <w:t>.</w:t>
      </w:r>
      <w:r w:rsidR="00444941">
        <w:rPr>
          <w:rFonts w:ascii="Arial" w:eastAsia="Times New Roman" w:hAnsi="Arial" w:cs="Arial"/>
          <w:sz w:val="21"/>
          <w:szCs w:val="21"/>
        </w:rPr>
        <w:t xml:space="preserve"> </w:t>
      </w:r>
    </w:p>
    <w:p w14:paraId="63DCDF84" w14:textId="53D700B7" w:rsidR="00B5604D" w:rsidRDefault="00DF29F6" w:rsidP="00B5604D">
      <w:pPr>
        <w:rPr>
          <w:rFonts w:ascii="Arial" w:eastAsia="Times New Roman" w:hAnsi="Arial" w:cs="Arial"/>
          <w:sz w:val="21"/>
          <w:szCs w:val="21"/>
        </w:rPr>
      </w:pPr>
      <w:r w:rsidRPr="00DF29F6">
        <w:rPr>
          <w:rFonts w:ascii="Arial" w:eastAsia="Times New Roman" w:hAnsi="Arial" w:cs="Arial"/>
          <w:sz w:val="21"/>
          <w:szCs w:val="21"/>
        </w:rPr>
        <w:t xml:space="preserve">The </w:t>
      </w:r>
      <w:r>
        <w:rPr>
          <w:rFonts w:ascii="Arial" w:eastAsia="Times New Roman" w:hAnsi="Arial" w:cs="Arial"/>
          <w:sz w:val="21"/>
          <w:szCs w:val="21"/>
        </w:rPr>
        <w:t xml:space="preserve">SLA </w:t>
      </w:r>
      <w:r w:rsidR="005A600A">
        <w:rPr>
          <w:rFonts w:ascii="Arial" w:eastAsia="Times New Roman" w:hAnsi="Arial" w:cs="Arial"/>
          <w:sz w:val="21"/>
          <w:szCs w:val="21"/>
        </w:rPr>
        <w:t>also carries</w:t>
      </w:r>
      <w:r w:rsidRPr="00DF29F6">
        <w:rPr>
          <w:rFonts w:ascii="Arial" w:eastAsia="Times New Roman" w:hAnsi="Arial" w:cs="Arial"/>
          <w:sz w:val="21"/>
          <w:szCs w:val="21"/>
        </w:rPr>
        <w:t xml:space="preserve"> exida </w:t>
      </w:r>
      <w:r w:rsidR="005A600A">
        <w:rPr>
          <w:rFonts w:ascii="Arial" w:eastAsia="Times New Roman" w:hAnsi="Arial" w:cs="Arial"/>
          <w:sz w:val="21"/>
          <w:szCs w:val="21"/>
        </w:rPr>
        <w:t xml:space="preserve">certification </w:t>
      </w:r>
      <w:r w:rsidRPr="00DF29F6">
        <w:rPr>
          <w:rFonts w:ascii="Arial" w:eastAsia="Times New Roman" w:hAnsi="Arial" w:cs="Arial"/>
          <w:sz w:val="21"/>
          <w:szCs w:val="21"/>
        </w:rPr>
        <w:t>for</w:t>
      </w:r>
      <w:r w:rsidR="00C15F47">
        <w:rPr>
          <w:rFonts w:ascii="Arial" w:eastAsia="Times New Roman" w:hAnsi="Arial" w:cs="Arial"/>
          <w:sz w:val="21"/>
          <w:szCs w:val="21"/>
        </w:rPr>
        <w:t xml:space="preserve"> use</w:t>
      </w:r>
      <w:r w:rsidRPr="00DF29F6">
        <w:rPr>
          <w:rFonts w:ascii="Arial" w:eastAsia="Times New Roman" w:hAnsi="Arial" w:cs="Arial"/>
          <w:sz w:val="21"/>
          <w:szCs w:val="21"/>
        </w:rPr>
        <w:t xml:space="preserve"> in Safety Instrumented Systems</w:t>
      </w:r>
      <w:r w:rsidR="006A732C">
        <w:rPr>
          <w:rFonts w:ascii="Arial" w:eastAsia="Times New Roman" w:hAnsi="Arial" w:cs="Arial"/>
          <w:sz w:val="21"/>
          <w:szCs w:val="21"/>
        </w:rPr>
        <w:t xml:space="preserve"> (SIS)</w:t>
      </w:r>
      <w:r w:rsidR="007E1A52">
        <w:rPr>
          <w:rFonts w:ascii="Arial" w:eastAsia="Times New Roman" w:hAnsi="Arial" w:cs="Arial"/>
          <w:sz w:val="21"/>
          <w:szCs w:val="21"/>
        </w:rPr>
        <w:t xml:space="preserve"> and is SIL 2/3 capable</w:t>
      </w:r>
      <w:r w:rsidRPr="00DF29F6">
        <w:rPr>
          <w:rFonts w:ascii="Arial" w:eastAsia="Times New Roman" w:hAnsi="Arial" w:cs="Arial"/>
          <w:sz w:val="21"/>
          <w:szCs w:val="21"/>
        </w:rPr>
        <w:t xml:space="preserve">. With the new FM safety certification, the </w:t>
      </w:r>
      <w:r w:rsidR="004A038F">
        <w:rPr>
          <w:rFonts w:ascii="Arial" w:eastAsia="Times New Roman" w:hAnsi="Arial" w:cs="Arial"/>
          <w:sz w:val="21"/>
          <w:szCs w:val="21"/>
        </w:rPr>
        <w:t>SLA</w:t>
      </w:r>
      <w:r w:rsidRPr="00DF29F6">
        <w:rPr>
          <w:rFonts w:ascii="Arial" w:eastAsia="Times New Roman" w:hAnsi="Arial" w:cs="Arial"/>
          <w:sz w:val="21"/>
          <w:szCs w:val="21"/>
        </w:rPr>
        <w:t xml:space="preserve"> can now be used in both General (safe) and Hazardous Locations. This means that the S</w:t>
      </w:r>
      <w:r w:rsidR="004A038F">
        <w:rPr>
          <w:rFonts w:ascii="Arial" w:eastAsia="Times New Roman" w:hAnsi="Arial" w:cs="Arial"/>
          <w:sz w:val="21"/>
          <w:szCs w:val="21"/>
        </w:rPr>
        <w:t>LA</w:t>
      </w:r>
      <w:r w:rsidRPr="00DF29F6">
        <w:rPr>
          <w:rFonts w:ascii="Arial" w:eastAsia="Times New Roman" w:hAnsi="Arial" w:cs="Arial"/>
          <w:sz w:val="21"/>
          <w:szCs w:val="21"/>
        </w:rPr>
        <w:t xml:space="preserve"> can be used in situations where potentially explosive gases</w:t>
      </w:r>
      <w:r w:rsidR="00D67A11">
        <w:rPr>
          <w:rFonts w:ascii="Arial" w:eastAsia="Times New Roman" w:hAnsi="Arial" w:cs="Arial"/>
          <w:sz w:val="21"/>
          <w:szCs w:val="21"/>
        </w:rPr>
        <w:t>, vapors, dust or fibers may be present including:</w:t>
      </w:r>
      <w:r w:rsidRPr="00DF29F6">
        <w:rPr>
          <w:rFonts w:ascii="Arial" w:eastAsia="Times New Roman" w:hAnsi="Arial" w:cs="Arial"/>
          <w:sz w:val="21"/>
          <w:szCs w:val="21"/>
        </w:rPr>
        <w:t xml:space="preserve"> </w:t>
      </w:r>
    </w:p>
    <w:p w14:paraId="465873E6" w14:textId="56BFAC3D" w:rsidR="00B5604D" w:rsidRDefault="00DF29F6" w:rsidP="00B5604D">
      <w:pPr>
        <w:pStyle w:val="ListParagraph"/>
        <w:numPr>
          <w:ilvl w:val="0"/>
          <w:numId w:val="1"/>
        </w:numPr>
        <w:rPr>
          <w:rFonts w:ascii="Arial" w:eastAsia="Times New Roman" w:hAnsi="Arial" w:cs="Arial"/>
          <w:sz w:val="21"/>
          <w:szCs w:val="21"/>
        </w:rPr>
      </w:pPr>
      <w:r w:rsidRPr="00B5604D">
        <w:rPr>
          <w:rFonts w:ascii="Arial" w:eastAsia="Times New Roman" w:hAnsi="Arial" w:cs="Arial"/>
          <w:sz w:val="21"/>
          <w:szCs w:val="21"/>
        </w:rPr>
        <w:t>Oil and natural</w:t>
      </w:r>
      <w:r w:rsidR="008751A8">
        <w:rPr>
          <w:rFonts w:ascii="Arial" w:eastAsia="Times New Roman" w:hAnsi="Arial" w:cs="Arial"/>
          <w:sz w:val="21"/>
          <w:szCs w:val="21"/>
        </w:rPr>
        <w:t xml:space="preserve"> gas</w:t>
      </w:r>
      <w:r w:rsidRPr="00B5604D">
        <w:rPr>
          <w:rFonts w:ascii="Arial" w:eastAsia="Times New Roman" w:hAnsi="Arial" w:cs="Arial"/>
          <w:sz w:val="21"/>
          <w:szCs w:val="21"/>
        </w:rPr>
        <w:t xml:space="preserve"> </w:t>
      </w:r>
      <w:r w:rsidR="00ED56E7">
        <w:rPr>
          <w:rFonts w:ascii="Arial" w:eastAsia="Times New Roman" w:hAnsi="Arial" w:cs="Arial"/>
          <w:sz w:val="21"/>
          <w:szCs w:val="21"/>
        </w:rPr>
        <w:t xml:space="preserve">refining, extraction, and </w:t>
      </w:r>
      <w:r w:rsidR="008751A8">
        <w:rPr>
          <w:rFonts w:ascii="Arial" w:eastAsia="Times New Roman" w:hAnsi="Arial" w:cs="Arial"/>
          <w:sz w:val="21"/>
          <w:szCs w:val="21"/>
        </w:rPr>
        <w:t xml:space="preserve">transporting </w:t>
      </w:r>
    </w:p>
    <w:p w14:paraId="5015454E" w14:textId="77777777" w:rsidR="00B5604D" w:rsidRDefault="00DF29F6" w:rsidP="00B5604D">
      <w:pPr>
        <w:pStyle w:val="ListParagraph"/>
        <w:numPr>
          <w:ilvl w:val="0"/>
          <w:numId w:val="1"/>
        </w:numPr>
        <w:rPr>
          <w:rFonts w:ascii="Arial" w:eastAsia="Times New Roman" w:hAnsi="Arial" w:cs="Arial"/>
          <w:sz w:val="21"/>
          <w:szCs w:val="21"/>
        </w:rPr>
      </w:pPr>
      <w:r w:rsidRPr="00B5604D">
        <w:rPr>
          <w:rFonts w:ascii="Arial" w:eastAsia="Times New Roman" w:hAnsi="Arial" w:cs="Arial"/>
          <w:sz w:val="21"/>
          <w:szCs w:val="21"/>
        </w:rPr>
        <w:t>Offshore rigs</w:t>
      </w:r>
    </w:p>
    <w:p w14:paraId="2945D53C" w14:textId="29F51E4D" w:rsidR="00DF29F6" w:rsidRPr="00B5604D" w:rsidRDefault="00DF29F6" w:rsidP="00B5604D">
      <w:pPr>
        <w:pStyle w:val="ListParagraph"/>
        <w:numPr>
          <w:ilvl w:val="0"/>
          <w:numId w:val="1"/>
        </w:numPr>
        <w:rPr>
          <w:rFonts w:ascii="Arial" w:eastAsia="Times New Roman" w:hAnsi="Arial" w:cs="Arial"/>
          <w:sz w:val="21"/>
          <w:szCs w:val="21"/>
        </w:rPr>
      </w:pPr>
      <w:r w:rsidRPr="00B5604D">
        <w:rPr>
          <w:rFonts w:ascii="Arial" w:eastAsia="Times New Roman" w:hAnsi="Arial" w:cs="Arial"/>
          <w:sz w:val="21"/>
          <w:szCs w:val="21"/>
        </w:rPr>
        <w:t>Ch</w:t>
      </w:r>
      <w:r w:rsidR="00B5604D">
        <w:rPr>
          <w:rFonts w:ascii="Arial" w:eastAsia="Times New Roman" w:hAnsi="Arial" w:cs="Arial"/>
          <w:sz w:val="21"/>
          <w:szCs w:val="21"/>
        </w:rPr>
        <w:t>e</w:t>
      </w:r>
      <w:r w:rsidRPr="00B5604D">
        <w:rPr>
          <w:rFonts w:ascii="Arial" w:eastAsia="Times New Roman" w:hAnsi="Arial" w:cs="Arial"/>
          <w:sz w:val="21"/>
          <w:szCs w:val="21"/>
        </w:rPr>
        <w:t>mical and pharmaceutical plants</w:t>
      </w:r>
    </w:p>
    <w:p w14:paraId="101C6203" w14:textId="7C698C18" w:rsidR="00DF29F6" w:rsidRPr="00DF29F6" w:rsidRDefault="00606498" w:rsidP="00DF29F6">
      <w:pPr>
        <w:rPr>
          <w:rFonts w:ascii="Arial" w:eastAsia="Times New Roman" w:hAnsi="Arial" w:cs="Arial"/>
          <w:sz w:val="21"/>
          <w:szCs w:val="21"/>
        </w:rPr>
      </w:pPr>
      <w:r>
        <w:rPr>
          <w:rFonts w:ascii="Arial" w:eastAsia="Times New Roman" w:hAnsi="Arial" w:cs="Arial"/>
          <w:sz w:val="21"/>
          <w:szCs w:val="21"/>
        </w:rPr>
        <w:t xml:space="preserve">The SLA </w:t>
      </w:r>
      <w:r w:rsidR="004A038F">
        <w:rPr>
          <w:rFonts w:ascii="Arial" w:eastAsia="Times New Roman" w:hAnsi="Arial" w:cs="Arial"/>
          <w:sz w:val="21"/>
          <w:szCs w:val="21"/>
        </w:rPr>
        <w:t>is designed to deliver optimal performance in</w:t>
      </w:r>
      <w:r w:rsidR="004A038F" w:rsidRPr="004A038F">
        <w:rPr>
          <w:rFonts w:ascii="Arial" w:eastAsia="Times New Roman" w:hAnsi="Arial" w:cs="Arial"/>
          <w:sz w:val="21"/>
          <w:szCs w:val="21"/>
        </w:rPr>
        <w:t xml:space="preserve"> safety loops in hazardous process conditions</w:t>
      </w:r>
      <w:r w:rsidR="00BD5501">
        <w:rPr>
          <w:rFonts w:ascii="Arial" w:eastAsia="Times New Roman" w:hAnsi="Arial" w:cs="Arial"/>
          <w:sz w:val="21"/>
          <w:szCs w:val="21"/>
        </w:rPr>
        <w:t xml:space="preserve"> and bridges</w:t>
      </w:r>
      <w:r w:rsidR="004A038F" w:rsidRPr="004A038F">
        <w:rPr>
          <w:rFonts w:ascii="Arial" w:eastAsia="Times New Roman" w:hAnsi="Arial" w:cs="Arial"/>
          <w:sz w:val="21"/>
          <w:szCs w:val="21"/>
        </w:rPr>
        <w:t xml:space="preserve"> the gap between single-loop logic solvers and costly safety PLCs. With 16 alarms</w:t>
      </w:r>
      <w:r>
        <w:rPr>
          <w:rFonts w:ascii="Arial" w:eastAsia="Times New Roman" w:hAnsi="Arial" w:cs="Arial"/>
          <w:sz w:val="21"/>
          <w:szCs w:val="21"/>
        </w:rPr>
        <w:t xml:space="preserve">, </w:t>
      </w:r>
      <w:r w:rsidR="004A038F" w:rsidRPr="004A038F">
        <w:rPr>
          <w:rFonts w:ascii="Arial" w:eastAsia="Times New Roman" w:hAnsi="Arial" w:cs="Arial"/>
          <w:sz w:val="21"/>
          <w:szCs w:val="21"/>
        </w:rPr>
        <w:t>advanced voting logic, intuitive configuration using drop-down menus</w:t>
      </w:r>
      <w:r>
        <w:rPr>
          <w:rFonts w:ascii="Arial" w:eastAsia="Times New Roman" w:hAnsi="Arial" w:cs="Arial"/>
          <w:sz w:val="21"/>
          <w:szCs w:val="21"/>
        </w:rPr>
        <w:t xml:space="preserve">, checkboxes, </w:t>
      </w:r>
      <w:r w:rsidR="004A038F" w:rsidRPr="004A038F">
        <w:rPr>
          <w:rFonts w:ascii="Arial" w:eastAsia="Times New Roman" w:hAnsi="Arial" w:cs="Arial"/>
          <w:sz w:val="21"/>
          <w:szCs w:val="21"/>
        </w:rPr>
        <w:t>Excel-like</w:t>
      </w:r>
      <w:r>
        <w:rPr>
          <w:rFonts w:ascii="Arial" w:eastAsia="Times New Roman" w:hAnsi="Arial" w:cs="Arial"/>
          <w:sz w:val="21"/>
          <w:szCs w:val="21"/>
        </w:rPr>
        <w:t xml:space="preserve"> math</w:t>
      </w:r>
      <w:r w:rsidR="004A038F" w:rsidRPr="004A038F">
        <w:rPr>
          <w:rFonts w:ascii="Arial" w:eastAsia="Times New Roman" w:hAnsi="Arial" w:cs="Arial"/>
          <w:sz w:val="21"/>
          <w:szCs w:val="21"/>
        </w:rPr>
        <w:t xml:space="preserve"> equations, and communication via MODBUS/TCP, MODBUS RTU, and HART pass-thru, the SLA ensures both safety and efficiency</w:t>
      </w:r>
      <w:r w:rsidR="00204098">
        <w:rPr>
          <w:rFonts w:ascii="Arial" w:eastAsia="Times New Roman" w:hAnsi="Arial" w:cs="Arial"/>
          <w:sz w:val="21"/>
          <w:szCs w:val="21"/>
        </w:rPr>
        <w:t xml:space="preserve"> in your Safety Instrumented Functions (SIF)</w:t>
      </w:r>
      <w:r w:rsidR="004A038F" w:rsidRPr="004A038F">
        <w:rPr>
          <w:rFonts w:ascii="Arial" w:eastAsia="Times New Roman" w:hAnsi="Arial" w:cs="Arial"/>
          <w:sz w:val="21"/>
          <w:szCs w:val="21"/>
        </w:rPr>
        <w:t xml:space="preserve">. </w:t>
      </w:r>
    </w:p>
    <w:p w14:paraId="470BEDF9" w14:textId="3E89B5A9" w:rsidR="00AB6186" w:rsidRPr="001C63A2" w:rsidRDefault="00DF29F6" w:rsidP="00BC65FD">
      <w:pPr>
        <w:rPr>
          <w:rFonts w:ascii="Arial" w:eastAsia="Times New Roman" w:hAnsi="Arial" w:cs="Arial"/>
          <w:sz w:val="21"/>
          <w:szCs w:val="21"/>
        </w:rPr>
      </w:pPr>
      <w:r w:rsidRPr="00DF29F6">
        <w:rPr>
          <w:rFonts w:ascii="Arial" w:eastAsia="Times New Roman" w:hAnsi="Arial" w:cs="Arial"/>
          <w:sz w:val="21"/>
          <w:szCs w:val="21"/>
        </w:rPr>
        <w:t xml:space="preserve">More information about the </w:t>
      </w:r>
      <w:r>
        <w:rPr>
          <w:rFonts w:ascii="Arial" w:eastAsia="Times New Roman" w:hAnsi="Arial" w:cs="Arial"/>
          <w:sz w:val="21"/>
          <w:szCs w:val="21"/>
        </w:rPr>
        <w:t xml:space="preserve">SLA can be found at </w:t>
      </w:r>
      <w:hyperlink r:id="rId8" w:history="1">
        <w:r w:rsidRPr="00F72688">
          <w:rPr>
            <w:rStyle w:val="Hyperlink"/>
            <w:rFonts w:ascii="Arial" w:eastAsia="Times New Roman" w:hAnsi="Arial" w:cs="Arial"/>
            <w:sz w:val="21"/>
            <w:szCs w:val="21"/>
          </w:rPr>
          <w:t>www.miinet.com/sla</w:t>
        </w:r>
      </w:hyperlink>
      <w:r>
        <w:rPr>
          <w:rFonts w:ascii="Arial" w:eastAsia="Times New Roman" w:hAnsi="Arial" w:cs="Arial"/>
          <w:sz w:val="21"/>
          <w:szCs w:val="21"/>
        </w:rPr>
        <w:t xml:space="preserve"> </w:t>
      </w:r>
    </w:p>
    <w:p w14:paraId="4060EEC6" w14:textId="77777777" w:rsidR="00AB6186" w:rsidRPr="001C63A2" w:rsidRDefault="00AB6186" w:rsidP="00AB6186">
      <w:pPr>
        <w:spacing w:after="0" w:line="240" w:lineRule="auto"/>
        <w:rPr>
          <w:rFonts w:ascii="Arial" w:eastAsia="Times New Roman" w:hAnsi="Arial" w:cs="Arial"/>
          <w:b/>
          <w:sz w:val="21"/>
          <w:szCs w:val="21"/>
        </w:rPr>
      </w:pPr>
      <w:r w:rsidRPr="001C63A2">
        <w:rPr>
          <w:rFonts w:ascii="Arial" w:eastAsia="Times New Roman" w:hAnsi="Arial" w:cs="Arial"/>
          <w:b/>
          <w:sz w:val="21"/>
          <w:szCs w:val="21"/>
        </w:rPr>
        <w:t>About Moore Industries-International, Inc.:</w:t>
      </w:r>
    </w:p>
    <w:p w14:paraId="61B5031C" w14:textId="77777777" w:rsidR="00AB6186" w:rsidRPr="001C63A2" w:rsidRDefault="00AB6186" w:rsidP="00AB6186">
      <w:pPr>
        <w:spacing w:after="0" w:line="240" w:lineRule="auto"/>
        <w:rPr>
          <w:rFonts w:ascii="Arial" w:eastAsia="Times New Roman" w:hAnsi="Arial" w:cs="Arial"/>
          <w:b/>
          <w:sz w:val="21"/>
          <w:szCs w:val="21"/>
        </w:rPr>
      </w:pPr>
    </w:p>
    <w:p w14:paraId="7E593C08" w14:textId="7CA34967" w:rsidR="00AB6186" w:rsidRPr="001C63A2" w:rsidRDefault="00AB6186" w:rsidP="008911A1">
      <w:pPr>
        <w:spacing w:after="0" w:line="240" w:lineRule="auto"/>
        <w:rPr>
          <w:rFonts w:ascii="Arial" w:eastAsia="Times New Roman" w:hAnsi="Arial" w:cs="Arial"/>
          <w:sz w:val="21"/>
          <w:szCs w:val="21"/>
        </w:rPr>
      </w:pPr>
      <w:r w:rsidRPr="001C63A2">
        <w:rPr>
          <w:rFonts w:ascii="Arial" w:eastAsia="Times New Roman" w:hAnsi="Arial" w:cs="Arial"/>
          <w:sz w:val="21"/>
          <w:szCs w:val="21"/>
        </w:rPr>
        <w:t xml:space="preserve">Based in North Hills, CA, Moore Industries is a world leader in </w:t>
      </w:r>
      <w:r w:rsidR="00346880" w:rsidRPr="001C63A2">
        <w:rPr>
          <w:rFonts w:ascii="Arial" w:eastAsia="Times New Roman" w:hAnsi="Arial" w:cs="Arial"/>
          <w:sz w:val="21"/>
          <w:szCs w:val="21"/>
        </w:rPr>
        <w:t>designing and manufacturing</w:t>
      </w:r>
      <w:r w:rsidRPr="001C63A2">
        <w:rPr>
          <w:rFonts w:ascii="Arial" w:eastAsia="Times New Roman" w:hAnsi="Arial" w:cs="Arial"/>
          <w:sz w:val="21"/>
          <w:szCs w:val="21"/>
        </w:rPr>
        <w:t xml:space="preserve"> rail, panel, and field instruments for industrial process control and monitoring, system integration, and factory automation. The company has direct sales offices in the United States and additional strategic worldwide locations in Australia, Belgium, the Netherlands, the People's Republic of China, and the United Kingdom. The company serves a variety of industries such as chemical and petrochemical; power generation and transmission; petroleum extraction, refining, and transport; pulp and paper; food and beverage; mining and metal refining; pharmaceuticals and biotechnology; industrial machinery and equipment; water and wastewater; and</w:t>
      </w:r>
      <w:r w:rsidR="00471D03">
        <w:rPr>
          <w:rFonts w:ascii="Arial" w:eastAsia="Times New Roman" w:hAnsi="Arial" w:cs="Arial"/>
          <w:sz w:val="21"/>
          <w:szCs w:val="21"/>
        </w:rPr>
        <w:t xml:space="preserve"> </w:t>
      </w:r>
      <w:r w:rsidRPr="001C63A2">
        <w:rPr>
          <w:rFonts w:ascii="Arial" w:eastAsia="Times New Roman" w:hAnsi="Arial" w:cs="Arial"/>
          <w:sz w:val="21"/>
          <w:szCs w:val="21"/>
        </w:rPr>
        <w:t xml:space="preserve">environmental and pollution monitoring. For more information on Moore Industries, visit </w:t>
      </w:r>
      <w:hyperlink r:id="rId9" w:history="1">
        <w:r w:rsidRPr="001C63A2">
          <w:rPr>
            <w:rFonts w:ascii="Arial" w:eastAsia="Times New Roman" w:hAnsi="Arial" w:cs="Arial"/>
            <w:color w:val="0000FF"/>
            <w:sz w:val="21"/>
            <w:szCs w:val="21"/>
            <w:u w:val="single"/>
          </w:rPr>
          <w:t>www.miinet.com</w:t>
        </w:r>
      </w:hyperlink>
      <w:r w:rsidRPr="001C63A2">
        <w:rPr>
          <w:rFonts w:ascii="Arial" w:eastAsia="Times New Roman" w:hAnsi="Arial" w:cs="Arial"/>
          <w:sz w:val="21"/>
          <w:szCs w:val="21"/>
        </w:rPr>
        <w:t>.</w:t>
      </w:r>
    </w:p>
    <w:sectPr w:rsidR="00AB6186" w:rsidRPr="001C63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505518"/>
    <w:multiLevelType w:val="hybridMultilevel"/>
    <w:tmpl w:val="7A36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925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0BD"/>
    <w:rsid w:val="00020527"/>
    <w:rsid w:val="00040229"/>
    <w:rsid w:val="000744E6"/>
    <w:rsid w:val="000B01E2"/>
    <w:rsid w:val="000B5792"/>
    <w:rsid w:val="000D5FB7"/>
    <w:rsid w:val="0013767E"/>
    <w:rsid w:val="00154B89"/>
    <w:rsid w:val="001C63A2"/>
    <w:rsid w:val="0020146B"/>
    <w:rsid w:val="00204098"/>
    <w:rsid w:val="00272811"/>
    <w:rsid w:val="00294B9A"/>
    <w:rsid w:val="002B318C"/>
    <w:rsid w:val="002C2FDE"/>
    <w:rsid w:val="002F6544"/>
    <w:rsid w:val="003329E7"/>
    <w:rsid w:val="00346880"/>
    <w:rsid w:val="0034719C"/>
    <w:rsid w:val="003863E9"/>
    <w:rsid w:val="003E4A5F"/>
    <w:rsid w:val="003F4EBF"/>
    <w:rsid w:val="004308CF"/>
    <w:rsid w:val="00444941"/>
    <w:rsid w:val="00464B97"/>
    <w:rsid w:val="00471D03"/>
    <w:rsid w:val="0048652D"/>
    <w:rsid w:val="004A038F"/>
    <w:rsid w:val="004C7E7B"/>
    <w:rsid w:val="004E0278"/>
    <w:rsid w:val="004F4845"/>
    <w:rsid w:val="004F604D"/>
    <w:rsid w:val="005830BD"/>
    <w:rsid w:val="00586673"/>
    <w:rsid w:val="005A600A"/>
    <w:rsid w:val="005B4866"/>
    <w:rsid w:val="00606498"/>
    <w:rsid w:val="006068F6"/>
    <w:rsid w:val="00634774"/>
    <w:rsid w:val="00645473"/>
    <w:rsid w:val="00652ABE"/>
    <w:rsid w:val="006827E6"/>
    <w:rsid w:val="00693067"/>
    <w:rsid w:val="006A732C"/>
    <w:rsid w:val="006D08EB"/>
    <w:rsid w:val="00726411"/>
    <w:rsid w:val="007341FD"/>
    <w:rsid w:val="00771A83"/>
    <w:rsid w:val="00771AAC"/>
    <w:rsid w:val="007D1F4C"/>
    <w:rsid w:val="007E1A52"/>
    <w:rsid w:val="00832A4B"/>
    <w:rsid w:val="008751A8"/>
    <w:rsid w:val="008911A1"/>
    <w:rsid w:val="00896FBE"/>
    <w:rsid w:val="008B36F5"/>
    <w:rsid w:val="008D537C"/>
    <w:rsid w:val="009033BE"/>
    <w:rsid w:val="00942689"/>
    <w:rsid w:val="009C7BC5"/>
    <w:rsid w:val="009E7A57"/>
    <w:rsid w:val="009F582D"/>
    <w:rsid w:val="00A42DC8"/>
    <w:rsid w:val="00AB6186"/>
    <w:rsid w:val="00B04CBF"/>
    <w:rsid w:val="00B21978"/>
    <w:rsid w:val="00B36F8C"/>
    <w:rsid w:val="00B5604D"/>
    <w:rsid w:val="00BC65FD"/>
    <w:rsid w:val="00BD5501"/>
    <w:rsid w:val="00C04D7E"/>
    <w:rsid w:val="00C06DA1"/>
    <w:rsid w:val="00C15F47"/>
    <w:rsid w:val="00C5018D"/>
    <w:rsid w:val="00C51C7D"/>
    <w:rsid w:val="00D0531D"/>
    <w:rsid w:val="00D37BF4"/>
    <w:rsid w:val="00D65F21"/>
    <w:rsid w:val="00D67A11"/>
    <w:rsid w:val="00DF29F6"/>
    <w:rsid w:val="00ED1DEB"/>
    <w:rsid w:val="00ED56E7"/>
    <w:rsid w:val="00F8002B"/>
    <w:rsid w:val="00FA35D1"/>
    <w:rsid w:val="00FB0998"/>
    <w:rsid w:val="00FC428F"/>
    <w:rsid w:val="00FC6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12A4C"/>
  <w15:chartTrackingRefBased/>
  <w15:docId w15:val="{3CF246EF-8A1D-4D4A-B363-C797C46F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0BD"/>
    <w:rPr>
      <w:kern w:val="0"/>
      <w14:ligatures w14:val="none"/>
    </w:rPr>
  </w:style>
  <w:style w:type="paragraph" w:styleId="Heading1">
    <w:name w:val="heading 1"/>
    <w:basedOn w:val="Normal"/>
    <w:next w:val="Normal"/>
    <w:link w:val="Heading1Char"/>
    <w:uiPriority w:val="9"/>
    <w:qFormat/>
    <w:rsid w:val="005830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30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30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30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30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30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30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30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30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0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30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30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30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30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30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30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30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30BD"/>
    <w:rPr>
      <w:rFonts w:eastAsiaTheme="majorEastAsia" w:cstheme="majorBidi"/>
      <w:color w:val="272727" w:themeColor="text1" w:themeTint="D8"/>
    </w:rPr>
  </w:style>
  <w:style w:type="paragraph" w:styleId="Title">
    <w:name w:val="Title"/>
    <w:basedOn w:val="Normal"/>
    <w:next w:val="Normal"/>
    <w:link w:val="TitleChar"/>
    <w:uiPriority w:val="10"/>
    <w:qFormat/>
    <w:rsid w:val="005830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0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30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30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30BD"/>
    <w:pPr>
      <w:spacing w:before="160"/>
      <w:jc w:val="center"/>
    </w:pPr>
    <w:rPr>
      <w:i/>
      <w:iCs/>
      <w:color w:val="404040" w:themeColor="text1" w:themeTint="BF"/>
    </w:rPr>
  </w:style>
  <w:style w:type="character" w:customStyle="1" w:styleId="QuoteChar">
    <w:name w:val="Quote Char"/>
    <w:basedOn w:val="DefaultParagraphFont"/>
    <w:link w:val="Quote"/>
    <w:uiPriority w:val="29"/>
    <w:rsid w:val="005830BD"/>
    <w:rPr>
      <w:i/>
      <w:iCs/>
      <w:color w:val="404040" w:themeColor="text1" w:themeTint="BF"/>
    </w:rPr>
  </w:style>
  <w:style w:type="paragraph" w:styleId="ListParagraph">
    <w:name w:val="List Paragraph"/>
    <w:basedOn w:val="Normal"/>
    <w:uiPriority w:val="34"/>
    <w:qFormat/>
    <w:rsid w:val="005830BD"/>
    <w:pPr>
      <w:ind w:left="720"/>
      <w:contextualSpacing/>
    </w:pPr>
  </w:style>
  <w:style w:type="character" w:styleId="IntenseEmphasis">
    <w:name w:val="Intense Emphasis"/>
    <w:basedOn w:val="DefaultParagraphFont"/>
    <w:uiPriority w:val="21"/>
    <w:qFormat/>
    <w:rsid w:val="005830BD"/>
    <w:rPr>
      <w:i/>
      <w:iCs/>
      <w:color w:val="0F4761" w:themeColor="accent1" w:themeShade="BF"/>
    </w:rPr>
  </w:style>
  <w:style w:type="paragraph" w:styleId="IntenseQuote">
    <w:name w:val="Intense Quote"/>
    <w:basedOn w:val="Normal"/>
    <w:next w:val="Normal"/>
    <w:link w:val="IntenseQuoteChar"/>
    <w:uiPriority w:val="30"/>
    <w:qFormat/>
    <w:rsid w:val="005830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30BD"/>
    <w:rPr>
      <w:i/>
      <w:iCs/>
      <w:color w:val="0F4761" w:themeColor="accent1" w:themeShade="BF"/>
    </w:rPr>
  </w:style>
  <w:style w:type="character" w:styleId="IntenseReference">
    <w:name w:val="Intense Reference"/>
    <w:basedOn w:val="DefaultParagraphFont"/>
    <w:uiPriority w:val="32"/>
    <w:qFormat/>
    <w:rsid w:val="005830BD"/>
    <w:rPr>
      <w:b/>
      <w:bCs/>
      <w:smallCaps/>
      <w:color w:val="0F4761" w:themeColor="accent1" w:themeShade="BF"/>
      <w:spacing w:val="5"/>
    </w:rPr>
  </w:style>
  <w:style w:type="character" w:styleId="Hyperlink">
    <w:name w:val="Hyperlink"/>
    <w:basedOn w:val="DefaultParagraphFont"/>
    <w:uiPriority w:val="99"/>
    <w:unhideWhenUsed/>
    <w:rsid w:val="00AB6186"/>
    <w:rPr>
      <w:color w:val="467886" w:themeColor="hyperlink"/>
      <w:u w:val="single"/>
    </w:rPr>
  </w:style>
  <w:style w:type="character" w:styleId="UnresolvedMention">
    <w:name w:val="Unresolved Mention"/>
    <w:basedOn w:val="DefaultParagraphFont"/>
    <w:uiPriority w:val="99"/>
    <w:semiHidden/>
    <w:unhideWhenUsed/>
    <w:rsid w:val="00AB6186"/>
    <w:rPr>
      <w:color w:val="605E5C"/>
      <w:shd w:val="clear" w:color="auto" w:fill="E1DFDD"/>
    </w:rPr>
  </w:style>
  <w:style w:type="paragraph" w:styleId="Revision">
    <w:name w:val="Revision"/>
    <w:hidden/>
    <w:uiPriority w:val="99"/>
    <w:semiHidden/>
    <w:rsid w:val="00B21978"/>
    <w:pPr>
      <w:spacing w:after="0" w:line="240" w:lineRule="auto"/>
    </w:pPr>
    <w:rPr>
      <w:kern w:val="0"/>
      <w14:ligatures w14:val="none"/>
    </w:rPr>
  </w:style>
  <w:style w:type="character" w:styleId="FollowedHyperlink">
    <w:name w:val="FollowedHyperlink"/>
    <w:basedOn w:val="DefaultParagraphFont"/>
    <w:uiPriority w:val="99"/>
    <w:semiHidden/>
    <w:unhideWhenUsed/>
    <w:rsid w:val="001C63A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inet.com/sla" TargetMode="External"/><Relationship Id="rId3" Type="http://schemas.openxmlformats.org/officeDocument/2006/relationships/settings" Target="settings.xml"/><Relationship Id="rId7" Type="http://schemas.openxmlformats.org/officeDocument/2006/relationships/hyperlink" Target="mailto:stodd@mii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i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405</Words>
  <Characters>2570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Burgett</dc:creator>
  <cp:keywords/>
  <dc:description/>
  <cp:lastModifiedBy>David  Burgett</cp:lastModifiedBy>
  <cp:revision>7</cp:revision>
  <cp:lastPrinted>2024-03-11T20:14:00Z</cp:lastPrinted>
  <dcterms:created xsi:type="dcterms:W3CDTF">2025-01-24T23:02:00Z</dcterms:created>
  <dcterms:modified xsi:type="dcterms:W3CDTF">2025-01-28T21:55:00Z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2cf66aec-0d07-4866-89af-19a68346566c</vt:lpwstr>
  </property>
</Properties>
</file>